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Style w:val="7"/>
          <w:rFonts w:hint="eastAsia" w:ascii="方正小标宋简体" w:hAnsi="方正小标宋简体" w:eastAsia="方正小标宋简体" w:cs="方正小标宋简体"/>
          <w:b w:val="0"/>
          <w:bCs w:val="0"/>
          <w:kern w:val="2"/>
          <w:sz w:val="44"/>
          <w:szCs w:val="44"/>
          <w:lang w:val="en-US" w:eastAsia="zh-CN" w:bidi="ar-SA"/>
        </w:rPr>
      </w:pPr>
      <w:r>
        <w:rPr>
          <w:rStyle w:val="7"/>
          <w:rFonts w:hint="eastAsia" w:ascii="方正小标宋简体" w:hAnsi="方正小标宋简体" w:eastAsia="方正小标宋简体" w:cs="方正小标宋简体"/>
          <w:b w:val="0"/>
          <w:bCs w:val="0"/>
          <w:kern w:val="2"/>
          <w:sz w:val="44"/>
          <w:szCs w:val="44"/>
          <w:lang w:val="en-US" w:eastAsia="zh-CN" w:bidi="ar-SA"/>
        </w:rPr>
        <w:t>康复学院关于做好2019届康复治疗学专业毕业技能考核的通知</w:t>
      </w:r>
    </w:p>
    <w:p>
      <w:pPr>
        <w:widowControl w:val="0"/>
        <w:spacing w:line="580" w:lineRule="exact"/>
        <w:ind w:firstLine="0"/>
        <w:rPr>
          <w:rFonts w:hint="eastAsia" w:ascii="仿宋_GB2312" w:eastAsia="仿宋_GB2312" w:cs="Times New Roman"/>
          <w:sz w:val="32"/>
          <w:szCs w:val="32"/>
        </w:rPr>
      </w:pPr>
    </w:p>
    <w:p>
      <w:pPr>
        <w:widowControl w:val="0"/>
        <w:spacing w:line="580" w:lineRule="exact"/>
        <w:ind w:firstLine="0"/>
        <w:rPr>
          <w:rFonts w:ascii="仿宋_GB2312" w:eastAsia="仿宋_GB2312" w:cs="Times New Roman"/>
          <w:sz w:val="32"/>
          <w:szCs w:val="32"/>
        </w:rPr>
      </w:pPr>
      <w:r>
        <w:rPr>
          <w:rFonts w:hint="eastAsia" w:ascii="仿宋_GB2312" w:eastAsia="仿宋_GB2312" w:cs="Times New Roman"/>
          <w:sz w:val="32"/>
          <w:szCs w:val="32"/>
        </w:rPr>
        <w:t>学院办公室、学团工作办公室、</w:t>
      </w:r>
      <w:r>
        <w:rPr>
          <w:rFonts w:hint="eastAsia" w:ascii="仿宋_GB2312" w:eastAsia="仿宋_GB2312" w:cs="Times New Roman"/>
          <w:sz w:val="32"/>
          <w:szCs w:val="32"/>
          <w:lang w:val="en-US" w:eastAsia="zh-CN"/>
        </w:rPr>
        <w:t>各</w:t>
      </w:r>
      <w:r>
        <w:rPr>
          <w:rFonts w:hint="eastAsia" w:ascii="仿宋_GB2312" w:eastAsia="仿宋_GB2312" w:cs="Times New Roman"/>
          <w:sz w:val="32"/>
          <w:szCs w:val="32"/>
        </w:rPr>
        <w:t>教研室：</w:t>
      </w:r>
    </w:p>
    <w:p>
      <w:pPr>
        <w:widowControl w:val="0"/>
        <w:spacing w:line="580" w:lineRule="exact"/>
        <w:ind w:firstLine="756"/>
        <w:rPr>
          <w:rStyle w:val="7"/>
          <w:rFonts w:hint="eastAsia" w:ascii="黑体" w:hAnsi="黑体" w:eastAsia="黑体" w:cs="黑体"/>
          <w:b w:val="0"/>
          <w:bCs w:val="0"/>
          <w:kern w:val="2"/>
          <w:sz w:val="32"/>
          <w:szCs w:val="32"/>
          <w:lang w:val="en-US" w:eastAsia="zh-CN" w:bidi="ar-SA"/>
        </w:rPr>
      </w:pPr>
      <w:r>
        <w:rPr>
          <w:rFonts w:hint="eastAsia" w:ascii="仿宋_GB2312" w:eastAsia="仿宋_GB2312" w:cs="Times New Roman"/>
          <w:sz w:val="32"/>
          <w:szCs w:val="32"/>
        </w:rPr>
        <w:t>根据学校</w:t>
      </w:r>
      <w:r>
        <w:rPr>
          <w:rFonts w:hint="eastAsia" w:ascii="仿宋_GB2312" w:eastAsia="仿宋_GB2312" w:cs="Times New Roman"/>
          <w:sz w:val="32"/>
          <w:szCs w:val="32"/>
          <w:lang w:val="en-US" w:eastAsia="zh-CN"/>
        </w:rPr>
        <w:t>毕业生技能考核工作</w:t>
      </w:r>
      <w:r>
        <w:rPr>
          <w:rFonts w:hint="eastAsia" w:ascii="仿宋_GB2312" w:eastAsia="仿宋_GB2312" w:cs="Times New Roman"/>
          <w:sz w:val="32"/>
          <w:szCs w:val="32"/>
        </w:rPr>
        <w:t>的相关规定，学院决定在</w:t>
      </w:r>
      <w:bookmarkStart w:id="0" w:name="_GoBack"/>
      <w:r>
        <w:rPr>
          <w:rFonts w:hint="eastAsia" w:ascii="仿宋_GB2312" w:eastAsia="仿宋_GB2312" w:cs="Times New Roman"/>
          <w:color w:val="auto"/>
          <w:sz w:val="32"/>
          <w:szCs w:val="32"/>
        </w:rPr>
        <w:t>6月</w:t>
      </w:r>
      <w:r>
        <w:rPr>
          <w:rFonts w:hint="eastAsia" w:ascii="仿宋_GB2312" w:eastAsia="仿宋_GB2312" w:cs="Times New Roman"/>
          <w:color w:val="auto"/>
          <w:sz w:val="32"/>
          <w:szCs w:val="32"/>
          <w:lang w:val="en-US" w:eastAsia="zh-CN"/>
        </w:rPr>
        <w:t>12</w:t>
      </w:r>
      <w:r>
        <w:rPr>
          <w:rFonts w:hint="eastAsia" w:ascii="仿宋_GB2312" w:eastAsia="仿宋_GB2312" w:cs="Times New Roman"/>
          <w:color w:val="auto"/>
          <w:sz w:val="32"/>
          <w:szCs w:val="32"/>
        </w:rPr>
        <w:t>日</w:t>
      </w:r>
      <w:bookmarkEnd w:id="0"/>
      <w:r>
        <w:rPr>
          <w:rFonts w:hint="eastAsia" w:ascii="仿宋_GB2312" w:eastAsia="仿宋_GB2312" w:cs="Times New Roman"/>
          <w:sz w:val="32"/>
          <w:szCs w:val="32"/>
        </w:rPr>
        <w:t>完成对201</w:t>
      </w: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届毕业生</w:t>
      </w:r>
      <w:r>
        <w:rPr>
          <w:rFonts w:hint="eastAsia" w:ascii="仿宋_GB2312" w:eastAsia="仿宋_GB2312" w:cs="Times New Roman"/>
          <w:sz w:val="32"/>
          <w:szCs w:val="32"/>
          <w:lang w:val="en-US" w:eastAsia="zh-CN"/>
        </w:rPr>
        <w:t>技能考核</w:t>
      </w:r>
      <w:r>
        <w:rPr>
          <w:rFonts w:hint="eastAsia" w:ascii="仿宋_GB2312" w:eastAsia="仿宋_GB2312" w:cs="Times New Roman"/>
          <w:sz w:val="32"/>
          <w:szCs w:val="32"/>
        </w:rPr>
        <w:t>的相关工作。现将有关事项通知如下：</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7"/>
          <w:rFonts w:hint="eastAsia" w:ascii="黑体" w:hAnsi="黑体" w:eastAsia="黑体" w:cs="黑体"/>
          <w:b/>
          <w:bCs/>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一、</w:t>
      </w:r>
      <w:r>
        <w:rPr>
          <w:rFonts w:hint="eastAsia" w:ascii="黑体" w:hAnsi="黑体" w:eastAsia="黑体"/>
          <w:sz w:val="32"/>
          <w:szCs w:val="32"/>
        </w:rPr>
        <w:t>成立学院</w:t>
      </w:r>
      <w:r>
        <w:rPr>
          <w:rStyle w:val="7"/>
          <w:rFonts w:hint="eastAsia" w:ascii="黑体" w:hAnsi="黑体" w:eastAsia="黑体" w:cs="黑体"/>
          <w:b w:val="0"/>
          <w:bCs w:val="0"/>
          <w:kern w:val="2"/>
          <w:sz w:val="32"/>
          <w:szCs w:val="32"/>
          <w:lang w:val="en-US" w:eastAsia="zh-CN" w:bidi="ar-SA"/>
        </w:rPr>
        <w:t>毕业技能考核</w:t>
      </w:r>
      <w:r>
        <w:rPr>
          <w:rFonts w:hint="eastAsia" w:ascii="黑体" w:hAnsi="黑体" w:eastAsia="黑体" w:cs="黑体"/>
          <w:sz w:val="32"/>
          <w:szCs w:val="32"/>
        </w:rPr>
        <w:t>领导小组</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组  长：郑  心</w:t>
      </w:r>
      <w:r>
        <w:rPr>
          <w:rFonts w:hint="eastAsia" w:ascii="仿宋_GB2312" w:eastAsia="仿宋_GB2312"/>
          <w:sz w:val="32"/>
          <w:szCs w:val="32"/>
          <w:lang w:val="en-US" w:eastAsia="zh-CN"/>
        </w:rPr>
        <w:t xml:space="preserve">   </w:t>
      </w:r>
      <w:r>
        <w:rPr>
          <w:rFonts w:hint="eastAsia" w:ascii="仿宋_GB2312" w:eastAsia="仿宋_GB2312"/>
          <w:sz w:val="32"/>
          <w:szCs w:val="32"/>
        </w:rPr>
        <w:t>姜锡斌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副组长：崔国军   郭</w:t>
      </w:r>
      <w:r>
        <w:rPr>
          <w:rFonts w:hint="eastAsia" w:ascii="仿宋_GB2312" w:eastAsia="仿宋_GB2312"/>
          <w:sz w:val="32"/>
          <w:szCs w:val="32"/>
          <w:lang w:val="en-US" w:eastAsia="zh-CN"/>
        </w:rPr>
        <w:t xml:space="preserve">  </w:t>
      </w:r>
      <w:r>
        <w:rPr>
          <w:rFonts w:hint="eastAsia" w:ascii="仿宋_GB2312" w:eastAsia="仿宋_GB2312"/>
          <w:sz w:val="32"/>
          <w:szCs w:val="32"/>
        </w:rPr>
        <w:t>鹏</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ascii="黑体" w:hAnsi="黑体" w:eastAsia="黑体"/>
          <w:sz w:val="32"/>
          <w:szCs w:val="32"/>
        </w:rPr>
      </w:pPr>
      <w:r>
        <w:rPr>
          <w:rFonts w:hint="eastAsia" w:ascii="黑体" w:hAnsi="黑体" w:eastAsia="黑体"/>
          <w:sz w:val="32"/>
          <w:szCs w:val="32"/>
        </w:rPr>
        <w:t>二、成立学院</w:t>
      </w:r>
      <w:r>
        <w:rPr>
          <w:rStyle w:val="7"/>
          <w:rFonts w:hint="eastAsia" w:ascii="黑体" w:hAnsi="黑体" w:eastAsia="黑体" w:cs="黑体"/>
          <w:b w:val="0"/>
          <w:bCs w:val="0"/>
          <w:kern w:val="2"/>
          <w:sz w:val="32"/>
          <w:szCs w:val="32"/>
          <w:lang w:val="en-US" w:eastAsia="zh-CN" w:bidi="ar-SA"/>
        </w:rPr>
        <w:t>毕业技能考核</w:t>
      </w:r>
      <w:r>
        <w:rPr>
          <w:rFonts w:hint="eastAsia" w:ascii="黑体" w:hAnsi="黑体" w:eastAsia="黑体"/>
          <w:sz w:val="32"/>
          <w:szCs w:val="32"/>
        </w:rPr>
        <w:t>工作小组</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成  员：</w:t>
      </w:r>
      <w:r>
        <w:rPr>
          <w:rFonts w:hint="eastAsia" w:ascii="仿宋_GB2312" w:eastAsia="仿宋_GB2312"/>
          <w:sz w:val="32"/>
          <w:szCs w:val="32"/>
          <w:lang w:val="en-US" w:eastAsia="zh-CN"/>
        </w:rPr>
        <w:t>(按姓氏笔画排序)</w:t>
      </w:r>
    </w:p>
    <w:p>
      <w:pPr>
        <w:spacing w:line="580" w:lineRule="exact"/>
        <w:ind w:firstLine="1920" w:firstLineChars="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马丽虹</w:t>
      </w:r>
      <w:r>
        <w:rPr>
          <w:rFonts w:hint="eastAsia" w:ascii="仿宋_GB2312" w:hAnsi="仿宋_GB2312" w:eastAsia="仿宋_GB2312" w:cs="仿宋_GB2312"/>
          <w:color w:val="auto"/>
          <w:sz w:val="32"/>
          <w:szCs w:val="32"/>
          <w:lang w:val="en-US" w:eastAsia="zh-CN"/>
        </w:rPr>
        <w:t xml:space="preserve">   </w:t>
      </w:r>
      <w:r>
        <w:rPr>
          <w:rStyle w:val="7"/>
          <w:rFonts w:hint="eastAsia" w:ascii="仿宋_GB2312" w:hAnsi="仿宋_GB2312" w:eastAsia="仿宋_GB2312" w:cs="仿宋_GB2312"/>
          <w:color w:val="auto"/>
          <w:kern w:val="2"/>
          <w:sz w:val="32"/>
          <w:szCs w:val="32"/>
          <w:lang w:val="en-US" w:eastAsia="zh-CN" w:bidi="ar-SA"/>
        </w:rPr>
        <w:t xml:space="preserve">刘益成   </w:t>
      </w:r>
      <w:r>
        <w:rPr>
          <w:rFonts w:hint="eastAsia" w:ascii="仿宋_GB2312" w:hAnsi="仿宋_GB2312" w:eastAsia="仿宋_GB2312" w:cs="仿宋_GB2312"/>
          <w:color w:val="auto"/>
          <w:sz w:val="32"/>
          <w:szCs w:val="32"/>
          <w:lang w:val="en-US" w:eastAsia="zh-CN"/>
        </w:rPr>
        <w:t xml:space="preserve">陈  宇   </w:t>
      </w:r>
      <w:r>
        <w:rPr>
          <w:rFonts w:hint="eastAsia" w:ascii="仿宋_GB2312" w:hAnsi="仿宋_GB2312" w:eastAsia="仿宋_GB2312" w:cs="仿宋_GB2312"/>
          <w:color w:val="auto"/>
          <w:sz w:val="32"/>
          <w:szCs w:val="32"/>
        </w:rPr>
        <w:t>邱振刚</w:t>
      </w:r>
      <w:r>
        <w:rPr>
          <w:rFonts w:hint="eastAsia" w:ascii="仿宋_GB2312" w:hAnsi="仿宋_GB2312" w:eastAsia="仿宋_GB2312" w:cs="仿宋_GB2312"/>
          <w:color w:val="auto"/>
          <w:sz w:val="32"/>
          <w:szCs w:val="32"/>
          <w:lang w:val="en-US" w:eastAsia="zh-CN"/>
        </w:rPr>
        <w:t xml:space="preserve"> </w:t>
      </w:r>
    </w:p>
    <w:p>
      <w:pPr>
        <w:spacing w:line="580" w:lineRule="exact"/>
        <w:ind w:firstLine="1920" w:firstLineChars="6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英振昊   </w:t>
      </w:r>
      <w:r>
        <w:rPr>
          <w:rStyle w:val="7"/>
          <w:rFonts w:hint="eastAsia" w:ascii="仿宋_GB2312" w:hAnsi="仿宋_GB2312" w:eastAsia="仿宋_GB2312" w:cs="仿宋_GB2312"/>
          <w:color w:val="auto"/>
          <w:kern w:val="2"/>
          <w:sz w:val="32"/>
          <w:szCs w:val="32"/>
          <w:lang w:val="en-US" w:eastAsia="zh-CN" w:bidi="ar-SA"/>
        </w:rPr>
        <w:t>单垚焜</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Style w:val="7"/>
          <w:rFonts w:hint="eastAsia" w:ascii="仿宋_GB2312" w:hAnsi="仿宋_GB2312" w:eastAsia="仿宋_GB2312" w:cs="仿宋_GB2312"/>
          <w:color w:val="auto"/>
          <w:kern w:val="2"/>
          <w:sz w:val="32"/>
          <w:szCs w:val="32"/>
          <w:lang w:val="en-US" w:eastAsia="zh-CN" w:bidi="ar-SA"/>
        </w:rPr>
        <w:t xml:space="preserve">郝世杰  </w:t>
      </w:r>
      <w:r>
        <w:rPr>
          <w:rFonts w:hint="eastAsia" w:ascii="仿宋_GB2312" w:hAnsi="仿宋_GB2312" w:eastAsia="仿宋_GB2312" w:cs="仿宋_GB2312"/>
          <w:color w:val="auto"/>
          <w:sz w:val="32"/>
          <w:szCs w:val="32"/>
          <w:lang w:val="en-US" w:eastAsia="zh-CN"/>
        </w:rPr>
        <w:t xml:space="preserve"> </w:t>
      </w:r>
      <w:r>
        <w:rPr>
          <w:rStyle w:val="7"/>
          <w:rFonts w:hint="eastAsia" w:ascii="仿宋_GB2312" w:hAnsi="仿宋_GB2312" w:eastAsia="仿宋_GB2312" w:cs="仿宋_GB2312"/>
          <w:color w:val="auto"/>
          <w:kern w:val="2"/>
          <w:sz w:val="32"/>
          <w:szCs w:val="32"/>
          <w:lang w:val="en-US" w:eastAsia="zh-CN" w:bidi="ar-SA"/>
        </w:rPr>
        <w:t>阚俊祯</w:t>
      </w:r>
    </w:p>
    <w:p>
      <w:pPr>
        <w:spacing w:line="580" w:lineRule="exact"/>
        <w:ind w:firstLine="640" w:firstLineChars="200"/>
        <w:rPr>
          <w:rStyle w:val="7"/>
          <w:rFonts w:hint="default" w:ascii="仿宋_GB2312" w:hAnsi="仿宋_GB2312" w:eastAsia="仿宋_GB2312" w:cs="仿宋_GB2312"/>
          <w:color w:val="auto"/>
          <w:kern w:val="2"/>
          <w:sz w:val="32"/>
          <w:szCs w:val="32"/>
          <w:lang w:val="en-US" w:eastAsia="zh-CN" w:bidi="ar-SA"/>
        </w:rPr>
      </w:pPr>
      <w:r>
        <w:rPr>
          <w:rStyle w:val="7"/>
          <w:rFonts w:hint="eastAsia" w:ascii="仿宋_GB2312" w:hAnsi="仿宋_GB2312" w:eastAsia="仿宋_GB2312" w:cs="仿宋_GB2312"/>
          <w:color w:val="auto"/>
          <w:kern w:val="2"/>
          <w:sz w:val="32"/>
          <w:szCs w:val="32"/>
          <w:lang w:val="en-US" w:eastAsia="zh-CN" w:bidi="ar-SA"/>
        </w:rPr>
        <w:t>秘  书：</w:t>
      </w:r>
      <w:r>
        <w:rPr>
          <w:rFonts w:hint="eastAsia" w:ascii="仿宋_GB2312" w:hAnsi="仿宋_GB2312" w:eastAsia="仿宋_GB2312" w:cs="仿宋_GB2312"/>
          <w:color w:val="auto"/>
          <w:sz w:val="32"/>
          <w:szCs w:val="32"/>
          <w:lang w:val="en-US" w:eastAsia="zh-CN"/>
        </w:rPr>
        <w:t xml:space="preserve">张  鑫   </w:t>
      </w:r>
      <w:r>
        <w:rPr>
          <w:rFonts w:hint="eastAsia" w:ascii="仿宋_GB2312" w:hAnsi="仿宋_GB2312" w:eastAsia="仿宋_GB2312" w:cs="仿宋_GB2312"/>
          <w:color w:val="auto"/>
          <w:sz w:val="32"/>
          <w:szCs w:val="32"/>
        </w:rPr>
        <w:t>崔彩雯</w:t>
      </w:r>
    </w:p>
    <w:p>
      <w:pPr>
        <w:spacing w:line="360" w:lineRule="auto"/>
        <w:ind w:firstLine="640" w:firstLineChars="200"/>
        <w:jc w:val="both"/>
        <w:rPr>
          <w:rStyle w:val="7"/>
          <w:rFonts w:hint="eastAsia" w:ascii="黑体" w:hAnsi="黑体" w:eastAsia="黑体" w:cs="黑体"/>
          <w:b w:val="0"/>
          <w:bCs w:val="0"/>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三、考核时间、地点</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2019年6月12日全天。长清校区康复实训中心。</w:t>
      </w:r>
    </w:p>
    <w:p>
      <w:pPr>
        <w:spacing w:line="360" w:lineRule="auto"/>
        <w:ind w:firstLine="640" w:firstLineChars="200"/>
        <w:jc w:val="both"/>
        <w:rPr>
          <w:rStyle w:val="7"/>
          <w:rFonts w:hint="eastAsia" w:ascii="黑体" w:hAnsi="黑体" w:eastAsia="黑体" w:cs="黑体"/>
          <w:b w:val="0"/>
          <w:bCs w:val="0"/>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四、考核方式：</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考生在“标准化”病人的配合下，演示临床常见疾病的评估和治疗过程，包括主观评估、客观评估、治疗/干预三部分内容。</w:t>
      </w:r>
    </w:p>
    <w:p>
      <w:pPr>
        <w:spacing w:line="360" w:lineRule="auto"/>
        <w:ind w:firstLine="640" w:firstLineChars="200"/>
        <w:jc w:val="both"/>
        <w:rPr>
          <w:rStyle w:val="7"/>
          <w:rFonts w:hint="eastAsia" w:ascii="黑体" w:hAnsi="黑体" w:eastAsia="黑体" w:cs="黑体"/>
          <w:b w:val="0"/>
          <w:bCs w:val="0"/>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五、考核要求</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1.演示恰当的评估和沟通技巧，包括询问病人相关的病情并准确地评估。</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2.运用临床思维鉴定病人所呈现的相关病情。</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3.演示临床处理，包括教育、恰当地处理每个病人的问题。</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4.评估干预措施的有效性。</w:t>
      </w:r>
    </w:p>
    <w:p>
      <w:pPr>
        <w:spacing w:line="360" w:lineRule="auto"/>
        <w:ind w:firstLine="640" w:firstLineChars="200"/>
        <w:jc w:val="both"/>
        <w:rPr>
          <w:rStyle w:val="7"/>
          <w:rFonts w:ascii="宋体" w:hAnsi="宋体" w:eastAsia="宋体"/>
          <w:kern w:val="2"/>
          <w:sz w:val="24"/>
          <w:szCs w:val="24"/>
          <w:lang w:val="en-US" w:eastAsia="zh-CN" w:bidi="ar-SA"/>
        </w:rPr>
      </w:pPr>
      <w:r>
        <w:rPr>
          <w:rStyle w:val="7"/>
          <w:rFonts w:hint="eastAsia" w:ascii="仿宋_GB2312" w:hAnsi="仿宋_GB2312" w:eastAsia="仿宋_GB2312" w:cs="仿宋_GB2312"/>
          <w:kern w:val="2"/>
          <w:sz w:val="32"/>
          <w:szCs w:val="32"/>
          <w:lang w:val="en-US" w:eastAsia="zh-CN" w:bidi="ar-SA"/>
        </w:rPr>
        <w:t>5.演示有效的沟通技巧。</w:t>
      </w:r>
    </w:p>
    <w:p>
      <w:pPr>
        <w:spacing w:line="360" w:lineRule="auto"/>
        <w:ind w:firstLine="640" w:firstLineChars="200"/>
        <w:jc w:val="both"/>
        <w:rPr>
          <w:rStyle w:val="7"/>
          <w:rFonts w:hint="eastAsia" w:ascii="黑体" w:hAnsi="黑体" w:eastAsia="黑体" w:cs="黑体"/>
          <w:b w:val="0"/>
          <w:bCs w:val="0"/>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六、考核流程</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考生分为四大组，每位考生抽签获得病例，准备30分钟，操作演示8分钟。</w:t>
      </w:r>
    </w:p>
    <w:p>
      <w:pPr>
        <w:spacing w:line="360" w:lineRule="auto"/>
        <w:ind w:firstLine="640" w:firstLineChars="200"/>
        <w:jc w:val="both"/>
        <w:rPr>
          <w:rStyle w:val="7"/>
          <w:rFonts w:ascii="宋体" w:hAnsi="宋体" w:eastAsia="宋体" w:cs="宋体"/>
          <w:b/>
          <w:bCs/>
          <w:kern w:val="2"/>
          <w:sz w:val="24"/>
          <w:szCs w:val="24"/>
          <w:lang w:val="en-US" w:eastAsia="zh-CN" w:bidi="ar-SA"/>
        </w:rPr>
      </w:pPr>
      <w:r>
        <w:rPr>
          <w:rStyle w:val="7"/>
          <w:rFonts w:hint="eastAsia" w:ascii="黑体" w:hAnsi="黑体" w:eastAsia="黑体" w:cs="黑体"/>
          <w:b w:val="0"/>
          <w:bCs w:val="0"/>
          <w:kern w:val="2"/>
          <w:sz w:val="32"/>
          <w:szCs w:val="32"/>
          <w:lang w:val="en-US" w:eastAsia="zh-CN" w:bidi="ar-SA"/>
        </w:rPr>
        <w:t>七、评分标准</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1.以《常用康复治疗技术操作规范（2012年版）》为评判依据。</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2.主观评估（20分）：表现出有良好的职业素质和很好的交流沟通技巧，对于自身所进行的操作能够很好的把握，如自身操作时所处的姿势和患者在检测时的主观感受；意识到操作时患者的体位；询问病史: 询问与患者病情相关的问题（举例如下但又不局限于此：可能包括疼痛和其它有关的症状；家庭情况，生活方式或家庭支持情况，这些都会影响疾病患者的家庭环境、生活方式或家庭支持情况；相关的活动状态）。</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3.客观评估（30分）能根据体格检查的程序对患者进行恰当和精确的康复评估程序和内容（举例如下但又不局限于此： 测量关节活动范围、肌张力和肌力，进行与关节稳定性有关的特定检查，使用 VAS 量表评定疼痛情况，评定呼吸障碍的情况等）</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4.治疗/干预（30分）：表现出良好的专业行为和很好的交流沟通技巧，能意识到进行操作时自身所处的姿势和患者的体位，选择恰当的操作技术解决患者的问题，并提出有针对性的问题。希望能够执行对患者安全有效的操作技术，同时包括对患者进行教育。</w:t>
      </w:r>
    </w:p>
    <w:p>
      <w:pPr>
        <w:spacing w:line="360" w:lineRule="auto"/>
        <w:ind w:firstLine="640" w:firstLineChars="200"/>
        <w:jc w:val="both"/>
        <w:rPr>
          <w:rStyle w:val="7"/>
          <w:rFonts w:hint="eastAsia" w:ascii="仿宋_GB2312" w:hAnsi="仿宋_GB2312" w:eastAsia="仿宋_GB2312" w:cs="仿宋_GB2312"/>
          <w:kern w:val="2"/>
          <w:sz w:val="32"/>
          <w:szCs w:val="32"/>
          <w:lang w:val="en-US" w:eastAsia="zh-CN" w:bidi="ar-SA"/>
        </w:rPr>
      </w:pPr>
      <w:r>
        <w:rPr>
          <w:rStyle w:val="7"/>
          <w:rFonts w:hint="eastAsia" w:ascii="仿宋_GB2312" w:hAnsi="仿宋_GB2312" w:eastAsia="仿宋_GB2312" w:cs="仿宋_GB2312"/>
          <w:kern w:val="2"/>
          <w:sz w:val="32"/>
          <w:szCs w:val="32"/>
          <w:lang w:val="en-US" w:eastAsia="zh-CN" w:bidi="ar-SA"/>
        </w:rPr>
        <w:t>5.临床思维（20分）能够通过与患者的访谈和交流来确定患者的问题；能够有效的制定一个合适的治疗计划/干预。在给患者的指令中以及给患者施与治疗和建议的过程中，能够展现出选择特定治疗技术的合理性，能够基于个体患者的病情修正治疗技术。</w:t>
      </w:r>
    </w:p>
    <w:p>
      <w:pPr>
        <w:spacing w:line="360" w:lineRule="auto"/>
        <w:ind w:firstLine="6720" w:firstLineChars="2800"/>
        <w:jc w:val="both"/>
        <w:rPr>
          <w:rStyle w:val="7"/>
          <w:rFonts w:ascii="宋体" w:hAnsi="宋体" w:eastAsia="宋体"/>
          <w:kern w:val="2"/>
          <w:sz w:val="24"/>
          <w:szCs w:val="24"/>
          <w:lang w:val="en-US" w:eastAsia="zh-CN" w:bidi="ar-SA"/>
        </w:rPr>
      </w:pPr>
    </w:p>
    <w:p>
      <w:pPr>
        <w:wordWrap w:val="0"/>
        <w:spacing w:line="360" w:lineRule="auto"/>
        <w:jc w:val="right"/>
        <w:rPr>
          <w:rStyle w:val="7"/>
          <w:rFonts w:hint="default" w:ascii="仿宋_GB2312" w:hAnsi="仿宋_GB2312" w:eastAsia="仿宋_GB2312" w:cs="仿宋_GB2312"/>
          <w:b w:val="0"/>
          <w:bCs w:val="0"/>
          <w:kern w:val="2"/>
          <w:sz w:val="32"/>
          <w:szCs w:val="32"/>
          <w:lang w:val="en-US" w:eastAsia="zh-CN" w:bidi="ar-SA"/>
        </w:rPr>
      </w:pPr>
      <w:r>
        <w:rPr>
          <w:rStyle w:val="7"/>
          <w:rFonts w:hint="eastAsia" w:ascii="仿宋_GB2312" w:hAnsi="仿宋_GB2312" w:eastAsia="仿宋_GB2312" w:cs="仿宋_GB2312"/>
          <w:b w:val="0"/>
          <w:bCs w:val="0"/>
          <w:kern w:val="2"/>
          <w:sz w:val="32"/>
          <w:szCs w:val="32"/>
          <w:lang w:val="en-US" w:eastAsia="zh-CN" w:bidi="ar-SA"/>
        </w:rPr>
        <w:t xml:space="preserve"> </w:t>
      </w:r>
    </w:p>
    <w:p>
      <w:pPr>
        <w:spacing w:line="360" w:lineRule="auto"/>
        <w:ind w:firstLine="6080" w:firstLineChars="1900"/>
        <w:jc w:val="both"/>
        <w:rPr>
          <w:rStyle w:val="7"/>
          <w:rFonts w:hint="eastAsia" w:ascii="仿宋_GB2312" w:hAnsi="仿宋_GB2312" w:eastAsia="仿宋_GB2312" w:cs="仿宋_GB2312"/>
          <w:b w:val="0"/>
          <w:bCs w:val="0"/>
          <w:kern w:val="2"/>
          <w:sz w:val="32"/>
          <w:szCs w:val="32"/>
          <w:lang w:val="en-US" w:eastAsia="zh-CN" w:bidi="ar-SA"/>
        </w:rPr>
      </w:pPr>
      <w:r>
        <w:rPr>
          <w:rStyle w:val="7"/>
          <w:rFonts w:hint="eastAsia" w:ascii="仿宋_GB2312" w:hAnsi="仿宋_GB2312" w:eastAsia="仿宋_GB2312" w:cs="仿宋_GB2312"/>
          <w:b w:val="0"/>
          <w:bCs w:val="0"/>
          <w:kern w:val="2"/>
          <w:sz w:val="32"/>
          <w:szCs w:val="32"/>
          <w:lang w:val="en-US" w:eastAsia="zh-CN" w:bidi="ar-SA"/>
        </w:rPr>
        <w:t>康复学院</w:t>
      </w:r>
    </w:p>
    <w:p>
      <w:pPr>
        <w:spacing w:line="360" w:lineRule="auto"/>
        <w:jc w:val="center"/>
        <w:rPr>
          <w:rStyle w:val="7"/>
          <w:rFonts w:hint="eastAsia" w:ascii="仿宋_GB2312" w:hAnsi="仿宋_GB2312" w:eastAsia="仿宋_GB2312" w:cs="仿宋_GB2312"/>
          <w:b w:val="0"/>
          <w:bCs w:val="0"/>
          <w:kern w:val="2"/>
          <w:sz w:val="32"/>
          <w:szCs w:val="32"/>
          <w:lang w:val="en-US" w:eastAsia="zh-CN" w:bidi="ar-SA"/>
        </w:rPr>
      </w:pPr>
      <w:r>
        <w:rPr>
          <w:rStyle w:val="7"/>
          <w:rFonts w:hint="eastAsia" w:ascii="仿宋_GB2312" w:hAnsi="仿宋_GB2312" w:eastAsia="仿宋_GB2312" w:cs="仿宋_GB2312"/>
          <w:b w:val="0"/>
          <w:bCs w:val="0"/>
          <w:kern w:val="2"/>
          <w:sz w:val="32"/>
          <w:szCs w:val="32"/>
          <w:lang w:val="en-US" w:eastAsia="zh-CN" w:bidi="ar-SA"/>
        </w:rPr>
        <w:t xml:space="preserve">                                 2019年6月5日           </w:t>
      </w:r>
    </w:p>
    <w:p>
      <w:pPr>
        <w:spacing w:line="360" w:lineRule="auto"/>
        <w:ind w:firstLine="5280" w:firstLineChars="2200"/>
        <w:jc w:val="both"/>
        <w:rPr>
          <w:rStyle w:val="7"/>
          <w:rFonts w:ascii="宋体" w:hAnsi="宋体" w:eastAsia="宋体"/>
          <w:kern w:val="2"/>
          <w:sz w:val="24"/>
          <w:szCs w:val="24"/>
          <w:lang w:val="en-US" w:eastAsia="zh-CN" w:bidi="ar-SA"/>
        </w:rPr>
      </w:pPr>
    </w:p>
    <w:p>
      <w:pPr>
        <w:spacing w:line="360" w:lineRule="auto"/>
        <w:ind w:firstLine="5280" w:firstLineChars="2200"/>
        <w:jc w:val="both"/>
        <w:rPr>
          <w:rStyle w:val="7"/>
          <w:rFonts w:ascii="宋体" w:hAnsi="宋体" w:eastAsia="宋体"/>
          <w:kern w:val="2"/>
          <w:sz w:val="24"/>
          <w:szCs w:val="24"/>
          <w:lang w:val="en-US" w:eastAsia="zh-CN" w:bidi="ar-SA"/>
        </w:rPr>
      </w:pPr>
    </w:p>
    <w:p>
      <w:pPr>
        <w:spacing w:line="360" w:lineRule="auto"/>
        <w:ind w:firstLine="5280" w:firstLineChars="2200"/>
        <w:jc w:val="both"/>
        <w:rPr>
          <w:rStyle w:val="7"/>
          <w:rFonts w:ascii="宋体" w:hAnsi="宋体" w:eastAsia="宋体"/>
          <w:kern w:val="2"/>
          <w:sz w:val="24"/>
          <w:szCs w:val="24"/>
          <w:lang w:val="en-US" w:eastAsia="zh-CN" w:bidi="ar-SA"/>
        </w:rPr>
      </w:pPr>
    </w:p>
    <w:p>
      <w:pPr>
        <w:spacing w:line="360" w:lineRule="auto"/>
        <w:jc w:val="both"/>
        <w:rPr>
          <w:rStyle w:val="7"/>
          <w:rFonts w:ascii="宋体" w:hAnsi="宋体" w:eastAsia="宋体"/>
          <w:kern w:val="2"/>
          <w:sz w:val="24"/>
          <w:szCs w:val="24"/>
          <w:lang w:val="en-US" w:eastAsia="zh-CN" w:bidi="ar-SA"/>
        </w:rPr>
      </w:pPr>
    </w:p>
    <w:p>
      <w:pPr>
        <w:spacing w:line="360" w:lineRule="auto"/>
        <w:ind w:firstLine="1405" w:firstLineChars="500"/>
        <w:jc w:val="both"/>
        <w:rPr>
          <w:rStyle w:val="7"/>
          <w:rFonts w:ascii="宋体" w:hAnsi="宋体" w:eastAsia="宋体" w:cs="宋体"/>
          <w:b/>
          <w:bCs/>
          <w:kern w:val="2"/>
          <w:sz w:val="28"/>
          <w:szCs w:val="28"/>
          <w:lang w:val="en-US" w:eastAsia="zh-CN" w:bidi="ar-SA"/>
        </w:rPr>
      </w:pPr>
      <w:r>
        <w:rPr>
          <w:rStyle w:val="7"/>
          <w:rFonts w:ascii="宋体" w:hAnsi="宋体" w:eastAsia="宋体" w:cs="宋体"/>
          <w:b/>
          <w:bCs/>
          <w:kern w:val="2"/>
          <w:sz w:val="28"/>
          <w:szCs w:val="28"/>
          <w:lang w:val="en-US" w:eastAsia="zh-CN" w:bidi="ar-SA"/>
        </w:rPr>
        <w:t>2019届康复治疗学专业毕业技能考核评分表</w:t>
      </w:r>
    </w:p>
    <w:tbl>
      <w:tblPr>
        <w:tblStyle w:val="4"/>
        <w:tblW w:w="852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7"/>
        <w:gridCol w:w="1217"/>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姓名</w:t>
            </w: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学号</w:t>
            </w: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主观评估（20分）</w:t>
            </w: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客观评估（30分）</w:t>
            </w: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治疗/干预（30分）</w:t>
            </w: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临床思维（20分）</w:t>
            </w: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240" w:firstLineChars="100"/>
              <w:jc w:val="center"/>
              <w:rPr>
                <w:rStyle w:val="7"/>
                <w:rFonts w:ascii="宋体" w:hAnsi="宋体" w:eastAsia="宋体"/>
                <w:kern w:val="2"/>
                <w:sz w:val="24"/>
                <w:szCs w:val="24"/>
                <w:lang w:val="en-US" w:eastAsia="zh-CN" w:bidi="ar-SA"/>
              </w:rPr>
            </w:pPr>
            <w:r>
              <w:rPr>
                <w:rStyle w:val="7"/>
                <w:rFonts w:ascii="宋体" w:hAnsi="宋体" w:eastAsia="宋体"/>
                <w:kern w:val="2"/>
                <w:sz w:val="24"/>
                <w:szCs w:val="24"/>
                <w:lang w:val="en-US" w:eastAsia="zh-CN" w:bidi="ar-SA"/>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7"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c>
          <w:tcPr>
            <w:tcW w:w="1218" w:type="dxa"/>
            <w:tcBorders>
              <w:top w:val="single" w:color="000000" w:sz="4" w:space="0"/>
              <w:left w:val="single" w:color="000000" w:sz="4" w:space="0"/>
              <w:bottom w:val="single" w:color="000000" w:sz="4" w:space="0"/>
              <w:right w:val="single" w:color="000000" w:sz="4" w:space="0"/>
            </w:tcBorders>
            <w:vAlign w:val="top"/>
          </w:tcPr>
          <w:p>
            <w:pPr>
              <w:spacing w:line="360" w:lineRule="auto"/>
              <w:ind w:firstLine="480" w:firstLineChars="200"/>
              <w:jc w:val="both"/>
              <w:rPr>
                <w:rStyle w:val="7"/>
                <w:rFonts w:ascii="宋体" w:hAnsi="宋体" w:eastAsia="宋体"/>
                <w:kern w:val="2"/>
                <w:sz w:val="24"/>
                <w:szCs w:val="24"/>
                <w:lang w:val="en-US" w:eastAsia="zh-CN" w:bidi="ar-SA"/>
              </w:rPr>
            </w:pPr>
          </w:p>
        </w:tc>
      </w:tr>
    </w:tbl>
    <w:p>
      <w:pPr>
        <w:spacing w:line="360" w:lineRule="auto"/>
        <w:ind w:firstLine="480" w:firstLineChars="200"/>
        <w:jc w:val="both"/>
        <w:rPr>
          <w:rStyle w:val="7"/>
          <w:rFonts w:ascii="宋体" w:hAnsi="宋体" w:eastAsia="宋体"/>
          <w:kern w:val="2"/>
          <w:sz w:val="24"/>
          <w:szCs w:val="24"/>
          <w:lang w:val="en-US" w:eastAsia="zh-CN" w:bidi="ar-SA"/>
        </w:rPr>
      </w:pPr>
    </w:p>
    <w:sectPr>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873EB"/>
    <w:rsid w:val="09373915"/>
    <w:rsid w:val="21BB641A"/>
    <w:rsid w:val="3DD9586C"/>
    <w:rsid w:val="67AE6CBD"/>
    <w:rsid w:val="6DD36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spacing w:line="240" w:lineRule="auto"/>
      <w:jc w:val="both"/>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right" w:pos="4153"/>
        <w:tab w:val="left" w:leader="underscore" w:pos="8306"/>
      </w:tabs>
      <w:snapToGrid w:val="0"/>
      <w:spacing w:line="240" w:lineRule="auto"/>
      <w:jc w:val="left"/>
    </w:pPr>
    <w:rPr>
      <w:rFonts w:ascii="Calibri" w:hAnsi="Calibri" w:eastAsia="宋体"/>
      <w:kern w:val="2"/>
      <w:sz w:val="18"/>
      <w:szCs w:val="24"/>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right" w:pos="4153"/>
        <w:tab w:val="left" w:leader="underscore" w:pos="8306"/>
      </w:tabs>
      <w:snapToGrid w:val="0"/>
      <w:spacing w:line="240" w:lineRule="auto"/>
      <w:jc w:val="both"/>
    </w:pPr>
    <w:rPr>
      <w:rFonts w:ascii="Calibri" w:hAnsi="Calibri" w:eastAsia="宋体"/>
      <w:kern w:val="2"/>
      <w:sz w:val="18"/>
      <w:szCs w:val="24"/>
      <w:lang w:val="en-US" w:eastAsia="zh-CN" w:bidi="ar-SA"/>
    </w:rPr>
  </w:style>
  <w:style w:type="paragraph" w:customStyle="1" w:styleId="6">
    <w:name w:val="Heading3"/>
    <w:basedOn w:val="1"/>
    <w:next w:val="1"/>
    <w:qFormat/>
    <w:uiPriority w:val="0"/>
    <w:pPr>
      <w:keepNext/>
      <w:keepLines/>
      <w:spacing w:before="260" w:after="260" w:line="413" w:lineRule="auto"/>
      <w:jc w:val="both"/>
    </w:pPr>
    <w:rPr>
      <w:rFonts w:ascii="Calibri" w:hAnsi="Calibri" w:eastAsia="宋体"/>
      <w:b/>
      <w:kern w:val="2"/>
      <w:sz w:val="32"/>
      <w:szCs w:val="24"/>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table" w:customStyle="1" w:styleId="9">
    <w:name w:val="TableGrid"/>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Office_11.1.0.8696_F1E327BC-269C-435d-A152-05C5408002CA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2019-06-10T02:16:00Z</dcterms:created>
  <dc:creator>Administrator</dc:creator>
  <cp:lastModifiedBy>Administrator</cp:lastModifiedBy>
  <dcterms:modified xsi:type="dcterms:W3CDTF">2019-06-11T01:51:47Z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